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СОВЕТ НАРОДНЫХ ДЕПУТАТОВ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СЕМИДЕСЯТСКОГО СЕЛЬСКОГО ПОСЕЛЕНИЯ                      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ХОХОЛЬСКОГО МУНИЦИПАЛЬНОГО РАЙОНА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ВОРОНЕЖСКОЙ ОБЛАСТИ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РЕШЕНИЕ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от 22.02.2019 года № 6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с. Семидесятное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 внесении изменений и дополнений в решение Совета народных депутатов Семидесятского сельского поселения Хохольского муниципального района №12 от 18.04.2016г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Семидесятского сельского поселения Хохольского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 в целях противодействия коррупции»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Принимая во внимание протест прокуратуры Хохольского района на решение Совета народных депутатов Семидесятского сельского поселения Хохольского муниципального района Воронежской области №12 от 18.04.2016г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Семидесятского сельского поселения Хохольского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 в целях противодействия коррупции» от 22.01.2019 г. №2-1-2019, Совета народных депутатов Семидесятского сельского поселения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РЕШИЛ: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1.                 Внести изменения и дополнениия в приложение 1 к решению Совета народных депутатов Семидесятского сельского поселения Хохольского муниципального района Воронежской области №12 от 18.04.2016г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Семидесятского сельского поселения Хохольского </w:t>
      </w:r>
      <w:r>
        <w:rPr>
          <w:color w:val="212121"/>
          <w:sz w:val="26"/>
          <w:szCs w:val="26"/>
        </w:rPr>
        <w:lastRenderedPageBreak/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 в целях противодействия коррупции» дополнив его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пунктом 1.15 :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1.15. Ограничения и обязанности, налагаемые на лиц, замещающих муниципальные должности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1) замещать другие должности в органах государственной власти и органах местного самоуправления;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2) участвовать в управлении коммерческой организацией или некоммерческой организацией, за исключением следующих случаев: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 </w:t>
      </w:r>
      <w:hyperlink r:id="rId4" w:history="1">
        <w:r>
          <w:rPr>
            <w:rStyle w:val="a4"/>
            <w:color w:val="0263B2"/>
            <w:sz w:val="26"/>
            <w:szCs w:val="26"/>
          </w:rPr>
          <w:t>порядке</w:t>
        </w:r>
      </w:hyperlink>
      <w:r>
        <w:rPr>
          <w:color w:val="212121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</w:t>
      </w:r>
      <w:r>
        <w:rPr>
          <w:color w:val="212121"/>
          <w:sz w:val="26"/>
          <w:szCs w:val="26"/>
        </w:rPr>
        <w:lastRenderedPageBreak/>
        <w:t>федеральной собственности или собственности субъекта Российской Федерации акциями (долями участия в уставном капитале);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д) иных случаев, предусмотренных федеральными законами;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2.1) заниматься предпринимательской деятельностью лично или через доверенных лиц;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</w:t>
      </w:r>
      <w:r>
        <w:rPr>
          <w:color w:val="212121"/>
          <w:sz w:val="26"/>
          <w:szCs w:val="26"/>
        </w:rPr>
        <w:lastRenderedPageBreak/>
        <w:t>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 </w:t>
      </w:r>
      <w:hyperlink r:id="rId5" w:history="1">
        <w:r>
          <w:rPr>
            <w:rStyle w:val="a4"/>
            <w:color w:val="0263B2"/>
            <w:sz w:val="26"/>
            <w:szCs w:val="26"/>
          </w:rPr>
          <w:t>информации</w:t>
        </w:r>
      </w:hyperlink>
      <w:r>
        <w:rPr>
          <w:color w:val="212121"/>
          <w:sz w:val="26"/>
          <w:szCs w:val="26"/>
        </w:rPr>
        <w:t> ограниченного доступа, ставшие ему известными в связи с выполнением служебных обязанностей.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 </w:t>
      </w:r>
      <w:hyperlink r:id="rId6" w:anchor="sub_121034" w:history="1">
        <w:r>
          <w:rPr>
            <w:rStyle w:val="a4"/>
            <w:color w:val="0263B2"/>
            <w:sz w:val="26"/>
            <w:szCs w:val="26"/>
          </w:rPr>
          <w:t>пунктами 4 - 11 части 3</w:t>
        </w:r>
      </w:hyperlink>
      <w:r>
        <w:rPr>
          <w:color w:val="212121"/>
          <w:sz w:val="26"/>
          <w:szCs w:val="26"/>
        </w:rPr>
        <w:t> настоящей статьи.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 </w:t>
      </w:r>
      <w:hyperlink r:id="rId7" w:history="1">
        <w:r>
          <w:rPr>
            <w:rStyle w:val="a4"/>
            <w:color w:val="0263B2"/>
            <w:sz w:val="26"/>
            <w:szCs w:val="26"/>
          </w:rPr>
          <w:t>нормативными правовыми актами</w:t>
        </w:r>
      </w:hyperlink>
      <w:r>
        <w:rPr>
          <w:color w:val="212121"/>
          <w:sz w:val="26"/>
          <w:szCs w:val="26"/>
        </w:rPr>
        <w:t> Российской Федерации.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color w:val="212121"/>
          <w:sz w:val="26"/>
          <w:szCs w:val="26"/>
        </w:rPr>
        <w:lastRenderedPageBreak/>
        <w:t>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8" w:anchor="sub_121042" w:history="1">
        <w:r>
          <w:rPr>
            <w:rStyle w:val="a4"/>
            <w:color w:val="0263B2"/>
            <w:sz w:val="26"/>
            <w:szCs w:val="26"/>
          </w:rPr>
          <w:t>частью 4.2</w:t>
        </w:r>
      </w:hyperlink>
      <w:r>
        <w:rPr>
          <w:color w:val="212121"/>
          <w:sz w:val="26"/>
          <w:szCs w:val="26"/>
        </w:rPr>
        <w:t> 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4.5. При выявлении в результате проверки, осуществленной в соответствии с </w:t>
      </w:r>
      <w:hyperlink r:id="rId9" w:anchor="sub_121044" w:history="1">
        <w:r>
          <w:rPr>
            <w:rStyle w:val="a4"/>
            <w:color w:val="0263B2"/>
            <w:sz w:val="26"/>
            <w:szCs w:val="26"/>
          </w:rPr>
          <w:t>частью 4.4</w:t>
        </w:r>
      </w:hyperlink>
      <w:r>
        <w:rPr>
          <w:color w:val="212121"/>
          <w:sz w:val="26"/>
          <w:szCs w:val="26"/>
        </w:rPr>
        <w:t> 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 </w:t>
      </w:r>
      <w:hyperlink r:id="rId10" w:history="1">
        <w:r>
          <w:rPr>
            <w:rStyle w:val="a4"/>
            <w:color w:val="0263B2"/>
            <w:sz w:val="26"/>
            <w:szCs w:val="26"/>
          </w:rPr>
          <w:t>Федеральным законом</w:t>
        </w:r>
      </w:hyperlink>
      <w:r>
        <w:rPr>
          <w:color w:val="212121"/>
          <w:sz w:val="26"/>
          <w:szCs w:val="26"/>
        </w:rPr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1" w:history="1">
        <w:r>
          <w:rPr>
            <w:rStyle w:val="a4"/>
            <w:color w:val="0263B2"/>
            <w:sz w:val="26"/>
            <w:szCs w:val="26"/>
          </w:rPr>
          <w:t>Федеральным законом</w:t>
        </w:r>
      </w:hyperlink>
      <w:r>
        <w:rPr>
          <w:color w:val="212121"/>
          <w:sz w:val="26"/>
          <w:szCs w:val="26"/>
        </w:rPr>
        <w:t> 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5. Лица, замещающие муниципальные должности, нарушившие запреты, ограничения и обязанности, установленные </w:t>
      </w:r>
      <w:hyperlink r:id="rId12" w:anchor="sub_12101" w:history="1">
        <w:r>
          <w:rPr>
            <w:rStyle w:val="a4"/>
            <w:color w:val="0263B2"/>
            <w:sz w:val="26"/>
            <w:szCs w:val="26"/>
          </w:rPr>
          <w:t>частями 1 - 4.1</w:t>
        </w:r>
      </w:hyperlink>
      <w:r>
        <w:rPr>
          <w:color w:val="212121"/>
          <w:sz w:val="26"/>
          <w:szCs w:val="26"/>
        </w:rPr>
        <w:t> 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6. Лица, замещающие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Настоящее решение подлежит опубликованию в «Вестнике нормативных правовых актов» Семидесятского сельского поселения Хохольского муниципального района Воронежской области и размещению на официальном сайте в сети Интернет администрации Семидесятского сельского поселения Хохольского муниципального района Воронежской области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Контроль исполнения настоящего постановления оставляю за собой.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Глава Семидесятского                                                                 </w:t>
      </w:r>
    </w:p>
    <w:p w:rsidR="00557CA2" w:rsidRDefault="00557CA2" w:rsidP="00557CA2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сельского поселения                                                  П.И.Капустин   </w:t>
      </w:r>
    </w:p>
    <w:p w:rsidR="00962E95" w:rsidRDefault="00962E95"/>
    <w:sectPr w:rsidR="00962E95" w:rsidSect="0096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57CA2"/>
    <w:rsid w:val="00557CA2"/>
    <w:rsid w:val="0096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desyat.ru/documents/arhive_decision/detail.php?id=8752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5554.1000" TargetMode="External"/><Relationship Id="rId12" Type="http://schemas.openxmlformats.org/officeDocument/2006/relationships/hyperlink" Target="https://semdesyat.ru/documents/arhive_decision/detail.php?id=875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desyat.ru/documents/arhive_decision/detail.php?id=875287" TargetMode="External"/><Relationship Id="rId11" Type="http://schemas.openxmlformats.org/officeDocument/2006/relationships/hyperlink" Target="garantf1://70272954.0" TargetMode="External"/><Relationship Id="rId5" Type="http://schemas.openxmlformats.org/officeDocument/2006/relationships/hyperlink" Target="garantf1://57313333.0" TargetMode="External"/><Relationship Id="rId10" Type="http://schemas.openxmlformats.org/officeDocument/2006/relationships/hyperlink" Target="garantf1://70171682.0" TargetMode="External"/><Relationship Id="rId4" Type="http://schemas.openxmlformats.org/officeDocument/2006/relationships/hyperlink" Target="garantf1://10005872.8" TargetMode="External"/><Relationship Id="rId9" Type="http://schemas.openxmlformats.org/officeDocument/2006/relationships/hyperlink" Target="https://semdesyat.ru/documents/arhive_decision/detail.php?id=875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2023-10-16T09:59:00Z</dcterms:created>
  <dcterms:modified xsi:type="dcterms:W3CDTF">2023-10-16T09:59:00Z</dcterms:modified>
</cp:coreProperties>
</file>