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D71281" w:rsidP="00BE62D3">
            <w:pPr>
              <w:pStyle w:val="2"/>
            </w:pPr>
            <w:r>
              <w:t>2</w:t>
            </w:r>
            <w:r w:rsidR="00BE62D3">
              <w:t>2</w:t>
            </w:r>
            <w:r w:rsidR="0082736A">
              <w:t>.</w:t>
            </w:r>
            <w:r w:rsidR="00BE62D3">
              <w:t>01</w:t>
            </w:r>
            <w:r w:rsidR="0082736A">
              <w:t>.202</w:t>
            </w:r>
            <w:r w:rsidR="00BE62D3">
              <w:t>1</w:t>
            </w:r>
          </w:p>
        </w:tc>
      </w:tr>
    </w:tbl>
    <w:p w:rsidR="00D71281" w:rsidRDefault="00D71281" w:rsidP="00D71281">
      <w:pPr>
        <w:jc w:val="right"/>
        <w:rPr>
          <w:rFonts w:ascii="Arial" w:hAnsi="Arial" w:cs="Arial"/>
          <w:color w:val="595959"/>
          <w:sz w:val="24"/>
        </w:rPr>
      </w:pPr>
    </w:p>
    <w:p w:rsidR="00BE62D3" w:rsidRDefault="00BE62D3" w:rsidP="00BE62D3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ПУТЕШЕСТВИЕ ВО ВРЕМЕНИ </w:t>
      </w:r>
      <w:proofErr w:type="gramStart"/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</w:t>
      </w:r>
      <w:proofErr w:type="gramEnd"/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BE62D3" w:rsidRPr="00BE62D3" w:rsidRDefault="00BE62D3" w:rsidP="00BE62D3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</w:t>
      </w:r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BE62D3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СЬЮ. ВПЕРЕД, В БУДУЩЕЕ! </w:t>
      </w:r>
    </w:p>
    <w:p w:rsidR="00BE62D3" w:rsidRPr="00BE62D3" w:rsidRDefault="00BE62D3" w:rsidP="00BE62D3">
      <w:pPr>
        <w:spacing w:line="276" w:lineRule="auto"/>
        <w:ind w:left="1985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Сегодня  стало известно, что</w:t>
      </w:r>
      <w:r w:rsidRPr="00BE62D3">
        <w:rPr>
          <w:rFonts w:ascii="Arial" w:eastAsia="Calibri" w:hAnsi="Arial" w:cs="Arial"/>
          <w:i/>
          <w:color w:val="525252"/>
          <w:sz w:val="22"/>
          <w:szCs w:val="22"/>
        </w:rPr>
        <w:t xml:space="preserve"> 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культовый спортивный автомобиль </w:t>
      </w:r>
      <w:proofErr w:type="spellStart"/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DeLorean</w:t>
      </w:r>
      <w:proofErr w:type="spellEnd"/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DMC-12, показанный в фильме «Назад в будущее», может быть возрожден. Ровно сорок лет назад он стал прообразом маш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и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ны времени, позволив героям переместиться на 30 лет вперед и о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б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ратно, чтобы лучше узнать прошлое и попробовать изменить буд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у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щее. Самое время сделать то же самое при помощи данных переп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>и</w:t>
      </w:r>
      <w:r w:rsidRPr="00BE62D3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си населения. 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DeLorean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 Этот автомобиль обрел кул</w:t>
      </w:r>
      <w:r>
        <w:rPr>
          <w:rFonts w:ascii="Arial" w:eastAsia="Calibri" w:hAnsi="Arial" w:cs="Arial"/>
          <w:color w:val="525252"/>
          <w:sz w:val="24"/>
          <w:szCs w:val="24"/>
        </w:rPr>
        <w:t>ь</w:t>
      </w:r>
      <w:r>
        <w:rPr>
          <w:rFonts w:ascii="Arial" w:eastAsia="Calibri" w:hAnsi="Arial" w:cs="Arial"/>
          <w:color w:val="525252"/>
          <w:sz w:val="24"/>
          <w:szCs w:val="24"/>
        </w:rPr>
        <w:t>товый статус, благодаря своей «роли» в кинотрилогии «Назад в будущее» режисс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 Роберта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Земекиса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Именно на DMC-12 герои фильма из своего 1985 года смогли посетить 1955, 2015 и даже 1885 и, наверное, каждый </w:t>
      </w:r>
      <w:r w:rsidR="00E140C9">
        <w:rPr>
          <w:rFonts w:ascii="Arial" w:eastAsia="Calibri" w:hAnsi="Arial" w:cs="Arial"/>
          <w:color w:val="525252"/>
          <w:sz w:val="24"/>
          <w:szCs w:val="24"/>
        </w:rPr>
        <w:t>узнал много нового для с</w:t>
      </w:r>
      <w:r w:rsidR="00E140C9">
        <w:rPr>
          <w:rFonts w:ascii="Arial" w:eastAsia="Calibri" w:hAnsi="Arial" w:cs="Arial"/>
          <w:color w:val="525252"/>
          <w:sz w:val="24"/>
          <w:szCs w:val="24"/>
        </w:rPr>
        <w:t>е</w:t>
      </w:r>
      <w:r w:rsidR="00E140C9">
        <w:rPr>
          <w:rFonts w:ascii="Arial" w:eastAsia="Calibri" w:hAnsi="Arial" w:cs="Arial"/>
          <w:color w:val="525252"/>
          <w:sz w:val="24"/>
          <w:szCs w:val="24"/>
        </w:rPr>
        <w:t>бя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Находить важные детали в разные периоды времени позволяет и статистика. Она показывает, как меняется население, его предпочтения и возможности, а с ним и вся экономика страны. Зная, какими мы были 30, 20, 10 лет назад, кем стали сег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дня 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мы можем не только заглянуть в будущее, но и планировать его. Попробуем совершить короткий экскурс. </w:t>
      </w:r>
    </w:p>
    <w:p w:rsidR="00E140C9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Так, по данным переписи 1989 года, в РСФСР было 12,7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жителей с вы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шим образованием и 21,7 млн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со средним специальным, что составляло 10 и 18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>страны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старше 15 лет. В 2002 году уже 15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(19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) жителей России в этой возрастной категории имели высшее образование и 27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(32,9 млн)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среднее профессиональное. 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пустя 8 лет, по данным переписи </w:t>
      </w:r>
      <w:r>
        <w:rPr>
          <w:rFonts w:ascii="Arial" w:eastAsia="Calibri" w:hAnsi="Arial" w:cs="Arial"/>
          <w:color w:val="525252"/>
          <w:sz w:val="24"/>
          <w:szCs w:val="24"/>
        </w:rPr>
        <w:t>2010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года</w:t>
      </w:r>
      <w:r>
        <w:rPr>
          <w:rFonts w:ascii="Arial" w:eastAsia="Calibri" w:hAnsi="Arial" w:cs="Arial"/>
          <w:color w:val="525252"/>
          <w:sz w:val="24"/>
          <w:szCs w:val="24"/>
        </w:rPr>
        <w:t>, высшее образов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ние имели уже 22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(26,8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), а среднее профессиональное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30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(36,7 млн). 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>Как повлияло это на предпочтения в раб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те?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80-е годы популярностью пользовались профессии работников нефтегаз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вой промышленности, товароведов, продавцов, сотрудников гостиниц, мастеров т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леателье, наладчиков оборудования. 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Считается, что на выбор и появление вакансий в гостиничном деле влияло развитие туризма после Олимпиады-80. Наладчики и специалисты в электронике стали требоваться  с автоматизацией промышленности. Очевидно, одним из пер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ломных моментов в развитии профессионального образования стали 80-е годы, 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гда на рынке труда появилась необходимость в дополнительных квалифицирова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ных знаниях. Динамика данных переписей (по образованию, росту числа городских жителей) показывала работодателям: спрос на новые специальности и вакансии б</w:t>
      </w:r>
      <w:r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>дет.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Как изменилась ситуация с ростом числа специалистов с дипломом? 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«Сейчас в разряд популярных часто попадают высокооплачиваемые профе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сии и те, спрос на которые стабильно растет: сфера IT, биотехнологии, маркетинга, сетевых комм</w:t>
      </w:r>
      <w:r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>никаций. Традиционно замечен спрос на профессии в области продаж и сферы услуг (водители и т.д.). По всем этим профессиям публикуется больше вс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го вакансий»,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Людмила Иванова-Швец, доцент базовой кафедры «Развитие чел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веческого кап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итала» РЭУ им Г. В. Плеханова.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Рынок труда становится более контрастным. Но, судя по данным ВПН-2010, в дальнейшем мы еще увидим рост процентной доли россиян с высшим образован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ем. Точную картину покажет предстоящая перепись населения 2021 года. Новые данные, в том числе и об изменениях в составе разных поколений, позволят экспе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>там сделать некоторые прогнозы и на 30 лет вперед.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«К 2045 году, судя по ценностям, характерным для очередного поколения, 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торое должно походить на послевоенное поколение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(родившихся в 1944-63 годах), вновь будет высокий спрос на инженеров и специалистов с матем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тическим и техническим образованием, ответственных за внедрение больших с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стем»,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делает прогноз </w:t>
      </w:r>
      <w:r w:rsidR="00585CB5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основатель и координатор российской школы теории поколений </w:t>
      </w:r>
      <w:proofErr w:type="spellStart"/>
      <w:r w:rsidR="00585CB5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="00585CB5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Евгения </w:t>
      </w:r>
      <w:proofErr w:type="spellStart"/>
      <w:r w:rsidR="00585CB5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Новые данные переписи, возможно, позволят сделать и другие выводы. И, во всяком случае, повлиять на развитие обр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зовател</w:t>
      </w:r>
      <w:r>
        <w:rPr>
          <w:rFonts w:ascii="Arial" w:eastAsia="Calibri" w:hAnsi="Arial" w:cs="Arial"/>
          <w:color w:val="525252"/>
          <w:sz w:val="24"/>
          <w:szCs w:val="24"/>
        </w:rPr>
        <w:t>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ных программ в нашей стране. </w:t>
      </w:r>
    </w:p>
    <w:p w:rsidR="00BE62D3" w:rsidRDefault="00BE62D3" w:rsidP="00BE62D3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«Перепись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это инструмент не только для работы с настоящим. Благодаря получению и сравнению меняющихся через десятилетие точных данных об образ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вании, источниках дохода, социальном статусе представителей разных возрастных групп, мы можем понимать, какое наше будущее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что в нем будет цениться в первую очередь. Поэтому участие во Всероссийск</w:t>
      </w:r>
      <w:r>
        <w:rPr>
          <w:rFonts w:ascii="Arial" w:eastAsia="Calibri" w:hAnsi="Arial" w:cs="Arial"/>
          <w:color w:val="525252"/>
          <w:sz w:val="24"/>
          <w:szCs w:val="24"/>
        </w:rPr>
        <w:t>ой переписи населения 2021 г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да 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очень важная и нужная штука для каждого. Предстоящая первая цифровая п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репись с сопоставлением </w:t>
      </w:r>
      <w:r>
        <w:rPr>
          <w:rFonts w:ascii="Arial" w:eastAsia="Calibri" w:hAnsi="Arial" w:cs="Arial"/>
          <w:color w:val="525252"/>
          <w:sz w:val="24"/>
          <w:szCs w:val="24"/>
        </w:rPr>
        <w:t>разных методов сбора данных, в 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ом числе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Big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Data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– это значительный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апдейт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калибровки решений для будущего»,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замест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тель руководителя Росстата Павел Смелов. </w:t>
      </w:r>
    </w:p>
    <w:p w:rsidR="00C6160C" w:rsidRDefault="00BE62D3" w:rsidP="00585CB5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b/>
          <w:i/>
          <w:color w:val="525252"/>
          <w:sz w:val="24"/>
          <w:szCs w:val="24"/>
        </w:rPr>
        <w:t xml:space="preserve">Об </w:t>
      </w:r>
      <w:proofErr w:type="spellStart"/>
      <w:r>
        <w:rPr>
          <w:rFonts w:ascii="Arial" w:eastAsia="Calibri" w:hAnsi="Arial" w:cs="Arial"/>
          <w:b/>
          <w:i/>
          <w:color w:val="525252"/>
          <w:sz w:val="24"/>
          <w:szCs w:val="24"/>
        </w:rPr>
        <w:t>инфоповоде</w:t>
      </w:r>
      <w:proofErr w:type="spellEnd"/>
      <w:r>
        <w:rPr>
          <w:rFonts w:ascii="Arial" w:eastAsia="Calibri" w:hAnsi="Arial" w:cs="Arial"/>
          <w:b/>
          <w:i/>
          <w:color w:val="525252"/>
          <w:sz w:val="24"/>
          <w:szCs w:val="24"/>
        </w:rPr>
        <w:t>:</w:t>
      </w:r>
      <w:r w:rsidR="00585CB5">
        <w:rPr>
          <w:rFonts w:ascii="Arial" w:eastAsia="Calibri" w:hAnsi="Arial" w:cs="Arial"/>
          <w:b/>
          <w:i/>
          <w:color w:val="525252"/>
          <w:sz w:val="24"/>
          <w:szCs w:val="24"/>
        </w:rPr>
        <w:t xml:space="preserve"> 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1 по 30 а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п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реля 2021 года с применением цифровых технологий. Главным нововведением предстоящей переписи станет возможность самостоятельного заполнения ж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и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 xml:space="preserve">телями России электронного переписного листа на портале </w:t>
      </w:r>
      <w:proofErr w:type="spellStart"/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C6160C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о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нальных центров оказания государственных и муниципальных услуг «Мои док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у</w:t>
      </w:r>
      <w:r w:rsidR="00C6160C">
        <w:rPr>
          <w:rFonts w:ascii="Arial" w:eastAsia="Calibri" w:hAnsi="Arial" w:cs="Arial"/>
          <w:i/>
          <w:color w:val="525252"/>
          <w:sz w:val="24"/>
          <w:szCs w:val="24"/>
        </w:rPr>
        <w:t>менты».</w:t>
      </w:r>
    </w:p>
    <w:p w:rsidR="0082736A" w:rsidRDefault="0082736A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C6160C" w:rsidRDefault="00C6160C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585CB5" w:rsidRPr="00B334F1" w:rsidRDefault="00585CB5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482F9A" w:rsidRPr="00C6160C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D6095C" w:rsidRDefault="00D6095C" w:rsidP="00D6095C"/>
    <w:p w:rsidR="00D6095C" w:rsidRPr="00D6095C" w:rsidRDefault="00D6095C" w:rsidP="00D6095C"/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2" w:rsidRDefault="00566AF2">
      <w:r>
        <w:separator/>
      </w:r>
    </w:p>
  </w:endnote>
  <w:endnote w:type="continuationSeparator" w:id="0">
    <w:p w:rsidR="00566AF2" w:rsidRDefault="0056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2" w:rsidRDefault="00566AF2">
      <w:r>
        <w:separator/>
      </w:r>
    </w:p>
  </w:footnote>
  <w:footnote w:type="continuationSeparator" w:id="0">
    <w:p w:rsidR="00566AF2" w:rsidRDefault="0056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78FB"/>
    <w:rsid w:val="000F4C62"/>
    <w:rsid w:val="000F576F"/>
    <w:rsid w:val="000F5A33"/>
    <w:rsid w:val="00111880"/>
    <w:rsid w:val="00114986"/>
    <w:rsid w:val="001152FD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F92"/>
    <w:rsid w:val="00306E0F"/>
    <w:rsid w:val="0032263C"/>
    <w:rsid w:val="0033284F"/>
    <w:rsid w:val="00335548"/>
    <w:rsid w:val="003375B7"/>
    <w:rsid w:val="00357682"/>
    <w:rsid w:val="00381C59"/>
    <w:rsid w:val="00382CAE"/>
    <w:rsid w:val="003907D6"/>
    <w:rsid w:val="003A422B"/>
    <w:rsid w:val="003A42F0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66AF2"/>
    <w:rsid w:val="00585CB5"/>
    <w:rsid w:val="00591F82"/>
    <w:rsid w:val="005B10BB"/>
    <w:rsid w:val="005B72E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6BDE"/>
    <w:rsid w:val="006A2A4D"/>
    <w:rsid w:val="006A3129"/>
    <w:rsid w:val="006B0B7B"/>
    <w:rsid w:val="006C027F"/>
    <w:rsid w:val="006C1735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2239"/>
    <w:rsid w:val="00763519"/>
    <w:rsid w:val="007669DD"/>
    <w:rsid w:val="00772C5E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74142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813CF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6163"/>
    <w:rsid w:val="00D91B6A"/>
    <w:rsid w:val="00DA332F"/>
    <w:rsid w:val="00DA51EC"/>
    <w:rsid w:val="00DA5227"/>
    <w:rsid w:val="00DB3620"/>
    <w:rsid w:val="00DC26B9"/>
    <w:rsid w:val="00DC2770"/>
    <w:rsid w:val="00DC6553"/>
    <w:rsid w:val="00DD662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5243E"/>
    <w:rsid w:val="00E65243"/>
    <w:rsid w:val="00E65C73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779B-F660-4230-9B84-340F44D5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5516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5</cp:revision>
  <cp:lastPrinted>2021-01-22T07:45:00Z</cp:lastPrinted>
  <dcterms:created xsi:type="dcterms:W3CDTF">2021-01-22T07:32:00Z</dcterms:created>
  <dcterms:modified xsi:type="dcterms:W3CDTF">2021-01-22T11:08:00Z</dcterms:modified>
</cp:coreProperties>
</file>